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E7B" w:rsidRDefault="00E621C1" w:rsidP="00AE7E7B">
      <w:pPr>
        <w:bidi/>
        <w:rPr>
          <w:sz w:val="28"/>
          <w:szCs w:val="28"/>
        </w:rPr>
      </w:pPr>
      <w:r w:rsidRPr="00E621C1">
        <w:rPr>
          <w:b/>
          <w:bCs/>
          <w:noProof/>
          <w:sz w:val="32"/>
          <w:szCs w:val="32"/>
        </w:rPr>
        <w:pict>
          <v:group id="_x0000_s1029" style="position:absolute;left:0;text-align:left;margin-left:128.95pt;margin-top:-51.65pt;width:189.95pt;height:88.6pt;z-index:251658240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30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31" style="position:absolute;left:4281;top:2240;width:2613;height:477" stroked="f">
              <v:textbox style="mso-next-textbox:#_x0000_s1031">
                <w:txbxContent>
                  <w:p w:rsidR="007B0CF5" w:rsidRPr="005358FC" w:rsidRDefault="007B0CF5" w:rsidP="007B0CF5">
                    <w:pPr>
                      <w:jc w:val="center"/>
                      <w:rPr>
                        <w:rFonts w:ascii="Arial" w:hAnsi="Arial"/>
                        <w:b/>
                        <w:bCs/>
                        <w:color w:val="FFC00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3C38D0">
        <w:rPr>
          <w:b/>
          <w:bCs/>
          <w:sz w:val="32"/>
          <w:szCs w:val="32"/>
        </w:rPr>
        <w:t xml:space="preserve">         </w:t>
      </w:r>
    </w:p>
    <w:p w:rsidR="00AE7E7B" w:rsidRPr="00ED3FAB" w:rsidRDefault="00AE7E7B" w:rsidP="00AE7E7B">
      <w:pPr>
        <w:bidi/>
        <w:rPr>
          <w:sz w:val="28"/>
          <w:szCs w:val="28"/>
          <w:rtl/>
        </w:rPr>
      </w:pPr>
    </w:p>
    <w:p w:rsidR="00AE7E7B" w:rsidRDefault="00AE7E7B" w:rsidP="00AE7E7B">
      <w:pPr>
        <w:bidi/>
        <w:jc w:val="center"/>
        <w:rPr>
          <w:b/>
          <w:bCs/>
          <w:sz w:val="28"/>
          <w:szCs w:val="28"/>
          <w:lang w:bidi="ar-MA"/>
        </w:rPr>
      </w:pPr>
    </w:p>
    <w:p w:rsidR="00AE7E7B" w:rsidRPr="0083571B" w:rsidRDefault="00AE7E7B" w:rsidP="00AE7E7B">
      <w:pPr>
        <w:bidi/>
        <w:jc w:val="center"/>
        <w:rPr>
          <w:b/>
          <w:bCs/>
          <w:sz w:val="16"/>
          <w:szCs w:val="16"/>
          <w:lang w:bidi="ar-MA"/>
        </w:rPr>
      </w:pPr>
    </w:p>
    <w:p w:rsidR="00AE7E7B" w:rsidRPr="007B0CF5" w:rsidRDefault="007B0CF5" w:rsidP="007B0CF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b/>
          <w:bCs/>
          <w:sz w:val="32"/>
          <w:szCs w:val="32"/>
          <w:rtl/>
          <w:lang w:bidi="ar-MA"/>
        </w:rPr>
      </w:pPr>
      <w:r w:rsidRPr="007B0CF5">
        <w:rPr>
          <w:b/>
          <w:bCs/>
          <w:sz w:val="32"/>
          <w:szCs w:val="32"/>
          <w:rtl/>
        </w:rPr>
        <w:t>ا</w:t>
      </w:r>
      <w:r w:rsidR="00AE7E7B" w:rsidRPr="007B0CF5">
        <w:rPr>
          <w:b/>
          <w:bCs/>
          <w:sz w:val="32"/>
          <w:szCs w:val="32"/>
          <w:rtl/>
        </w:rPr>
        <w:t xml:space="preserve">لامتحان الموحد </w:t>
      </w:r>
      <w:r w:rsidR="00AE7E7B" w:rsidRPr="007B0CF5">
        <w:rPr>
          <w:b/>
          <w:bCs/>
          <w:sz w:val="32"/>
          <w:szCs w:val="32"/>
          <w:rtl/>
          <w:lang w:bidi="ar-MA"/>
        </w:rPr>
        <w:t>الجهوي</w:t>
      </w:r>
      <w:r w:rsidRPr="007B0CF5">
        <w:rPr>
          <w:b/>
          <w:bCs/>
          <w:sz w:val="32"/>
          <w:szCs w:val="32"/>
          <w:rtl/>
          <w:lang w:bidi="ar-MA"/>
        </w:rPr>
        <w:t xml:space="preserve"> لنيل شهادة</w:t>
      </w:r>
      <w:r w:rsidR="00AE7E7B" w:rsidRPr="007B0CF5">
        <w:rPr>
          <w:b/>
          <w:bCs/>
          <w:sz w:val="32"/>
          <w:szCs w:val="32"/>
          <w:lang w:bidi="ar-MA"/>
        </w:rPr>
        <w:t xml:space="preserve"> </w:t>
      </w:r>
      <w:r w:rsidR="00AE7E7B" w:rsidRPr="007B0CF5">
        <w:rPr>
          <w:b/>
          <w:bCs/>
          <w:sz w:val="32"/>
          <w:szCs w:val="32"/>
          <w:rtl/>
          <w:lang w:bidi="ar-MA"/>
        </w:rPr>
        <w:t xml:space="preserve"> </w:t>
      </w:r>
      <w:r w:rsidRPr="007B0CF5">
        <w:rPr>
          <w:b/>
          <w:bCs/>
          <w:sz w:val="32"/>
          <w:szCs w:val="32"/>
          <w:rtl/>
          <w:lang w:bidi="ar-MA"/>
        </w:rPr>
        <w:t>ا</w:t>
      </w:r>
      <w:r w:rsidR="00AE7E7B" w:rsidRPr="007B0CF5">
        <w:rPr>
          <w:b/>
          <w:bCs/>
          <w:sz w:val="32"/>
          <w:szCs w:val="32"/>
          <w:rtl/>
          <w:lang w:bidi="ar-MA"/>
        </w:rPr>
        <w:t xml:space="preserve">لبكالوريا: </w:t>
      </w:r>
      <w:r w:rsidR="000E63CB" w:rsidRPr="007B0CF5">
        <w:rPr>
          <w:b/>
          <w:bCs/>
          <w:sz w:val="32"/>
          <w:szCs w:val="32"/>
          <w:rtl/>
        </w:rPr>
        <w:t xml:space="preserve">المترشحون </w:t>
      </w:r>
      <w:r w:rsidR="00AE7E7B" w:rsidRPr="007B0CF5">
        <w:rPr>
          <w:b/>
          <w:bCs/>
          <w:sz w:val="32"/>
          <w:szCs w:val="32"/>
          <w:rtl/>
        </w:rPr>
        <w:t>الأحرار</w:t>
      </w:r>
    </w:p>
    <w:p w:rsidR="00AE7E7B" w:rsidRPr="007B0CF5" w:rsidRDefault="007B0CF5" w:rsidP="007B0CF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b/>
          <w:bCs/>
          <w:sz w:val="32"/>
          <w:szCs w:val="32"/>
          <w:lang w:bidi="ar-MA"/>
        </w:rPr>
      </w:pPr>
      <w:r w:rsidRPr="007B0CF5">
        <w:rPr>
          <w:b/>
          <w:bCs/>
          <w:sz w:val="32"/>
          <w:szCs w:val="32"/>
          <w:rtl/>
        </w:rPr>
        <w:t>الإطار المرجعي ل</w:t>
      </w:r>
      <w:r w:rsidR="00AE7E7B" w:rsidRPr="007B0CF5">
        <w:rPr>
          <w:b/>
          <w:bCs/>
          <w:sz w:val="32"/>
          <w:szCs w:val="32"/>
          <w:rtl/>
          <w:lang w:bidi="ar-MA"/>
        </w:rPr>
        <w:t>مادة المعلوميات والأنفوكرافيا</w:t>
      </w:r>
      <w:r w:rsidR="0053281B">
        <w:rPr>
          <w:rFonts w:hint="cs"/>
          <w:b/>
          <w:bCs/>
          <w:sz w:val="32"/>
          <w:szCs w:val="32"/>
          <w:rtl/>
          <w:lang w:bidi="ar-MA"/>
        </w:rPr>
        <w:t>-2010-</w:t>
      </w:r>
      <w:r w:rsidR="00AE7E7B" w:rsidRPr="007B0CF5">
        <w:rPr>
          <w:b/>
          <w:bCs/>
          <w:sz w:val="32"/>
          <w:szCs w:val="32"/>
          <w:rtl/>
          <w:lang w:bidi="ar-MA"/>
        </w:rPr>
        <w:t xml:space="preserve"> </w:t>
      </w:r>
    </w:p>
    <w:p w:rsidR="00AE7E7B" w:rsidRDefault="00AE7E7B" w:rsidP="007B0CF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b/>
          <w:bCs/>
          <w:sz w:val="32"/>
          <w:szCs w:val="32"/>
          <w:rtl/>
          <w:lang w:bidi="ar-MA"/>
        </w:rPr>
      </w:pPr>
      <w:r w:rsidRPr="007B0CF5">
        <w:rPr>
          <w:b/>
          <w:bCs/>
          <w:sz w:val="32"/>
          <w:szCs w:val="32"/>
          <w:rtl/>
          <w:lang w:bidi="ar-MA"/>
        </w:rPr>
        <w:t>شعبة الفنون التطبيقية</w:t>
      </w:r>
    </w:p>
    <w:p w:rsidR="007B0CF5" w:rsidRPr="00AE7E7B" w:rsidRDefault="007B0CF5" w:rsidP="007B0CF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rFonts w:ascii="Arb Hadith" w:hAnsi="Arb Hadith" w:cs="Arabic Transparent"/>
          <w:b/>
          <w:bCs/>
          <w:sz w:val="32"/>
          <w:szCs w:val="32"/>
          <w:rtl/>
          <w:lang w:bidi="ar-MA"/>
        </w:rPr>
      </w:pPr>
      <w:r w:rsidRPr="007B0CF5">
        <w:rPr>
          <w:b/>
          <w:bCs/>
          <w:sz w:val="32"/>
          <w:szCs w:val="32"/>
          <w:lang w:bidi="ar-MA"/>
        </w:rPr>
        <w:t>Informatique et infographie</w:t>
      </w:r>
    </w:p>
    <w:p w:rsidR="00AE7E7B" w:rsidRDefault="00AE7E7B">
      <w:pPr>
        <w:rPr>
          <w:b/>
          <w:bCs/>
          <w:sz w:val="32"/>
          <w:szCs w:val="32"/>
          <w:rtl/>
        </w:rPr>
      </w:pPr>
    </w:p>
    <w:p w:rsidR="00C21B1D" w:rsidRPr="000E63CB" w:rsidRDefault="00CE2AE6" w:rsidP="0073561D">
      <w:pPr>
        <w:ind w:left="2977" w:hanging="297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73561D">
        <w:rPr>
          <w:b/>
          <w:bCs/>
          <w:sz w:val="28"/>
          <w:szCs w:val="28"/>
        </w:rPr>
        <w:t>.</w:t>
      </w:r>
      <w:r w:rsidRPr="00F263A1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 w:rsidRPr="00F263A1">
        <w:rPr>
          <w:b/>
          <w:bCs/>
          <w:sz w:val="28"/>
          <w:szCs w:val="28"/>
          <w:u w:val="single"/>
        </w:rPr>
        <w:t>Compétence visée</w:t>
      </w:r>
      <w:r>
        <w:rPr>
          <w:b/>
          <w:bCs/>
          <w:sz w:val="28"/>
          <w:szCs w:val="28"/>
        </w:rPr>
        <w:t> </w:t>
      </w:r>
      <w:r w:rsidR="002C6DFB">
        <w:rPr>
          <w:b/>
          <w:bCs/>
          <w:sz w:val="32"/>
          <w:szCs w:val="32"/>
        </w:rPr>
        <w:t xml:space="preserve">: </w:t>
      </w:r>
      <w:r w:rsidR="000B611D">
        <w:rPr>
          <w:sz w:val="28"/>
          <w:szCs w:val="28"/>
        </w:rPr>
        <w:t>Initiation aux</w:t>
      </w:r>
      <w:r w:rsidR="00EF6B95" w:rsidRPr="000E63CB">
        <w:rPr>
          <w:sz w:val="28"/>
          <w:szCs w:val="28"/>
        </w:rPr>
        <w:t xml:space="preserve"> principaux modes de la communication infographique</w:t>
      </w:r>
    </w:p>
    <w:p w:rsidR="00CE2AE6" w:rsidRPr="00F263A1" w:rsidRDefault="00CE2AE6" w:rsidP="0073561D">
      <w:pPr>
        <w:rPr>
          <w:sz w:val="28"/>
          <w:szCs w:val="28"/>
        </w:rPr>
      </w:pPr>
      <w:r w:rsidRPr="00F263A1">
        <w:rPr>
          <w:b/>
          <w:bCs/>
          <w:sz w:val="28"/>
          <w:szCs w:val="28"/>
        </w:rPr>
        <w:t>2</w:t>
      </w:r>
      <w:r w:rsidR="0073561D">
        <w:rPr>
          <w:sz w:val="28"/>
          <w:szCs w:val="28"/>
        </w:rPr>
        <w:t>.</w:t>
      </w:r>
      <w:r w:rsidRPr="00F263A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F263A1">
        <w:rPr>
          <w:b/>
          <w:bCs/>
          <w:sz w:val="28"/>
          <w:szCs w:val="28"/>
          <w:u w:val="single"/>
        </w:rPr>
        <w:t>Capacités</w:t>
      </w:r>
      <w:r w:rsidRPr="00F263A1">
        <w:rPr>
          <w:sz w:val="28"/>
          <w:szCs w:val="28"/>
        </w:rPr>
        <w:t xml:space="preserve"> : </w:t>
      </w:r>
    </w:p>
    <w:p w:rsidR="00460692" w:rsidRDefault="00460692" w:rsidP="00460692">
      <w:pPr>
        <w:ind w:left="797"/>
        <w:rPr>
          <w:sz w:val="28"/>
          <w:szCs w:val="28"/>
        </w:rPr>
      </w:pPr>
    </w:p>
    <w:p w:rsidR="003C38D0" w:rsidRDefault="00235855" w:rsidP="002358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Reconnaître les outils de dessin et de la couleur en mode vectoriel et bitmap.</w:t>
      </w:r>
    </w:p>
    <w:p w:rsidR="007451B9" w:rsidRDefault="000B1215" w:rsidP="008E7C9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Applications sur l’image photographique </w:t>
      </w:r>
      <w:r w:rsidR="008E7C9E">
        <w:rPr>
          <w:sz w:val="28"/>
          <w:szCs w:val="28"/>
        </w:rPr>
        <w:t xml:space="preserve">en mode vectoriel et en mode bitmap. </w:t>
      </w:r>
    </w:p>
    <w:p w:rsidR="000B1215" w:rsidRDefault="00CD7870" w:rsidP="005D0BE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 des techniques de mise en page et </w:t>
      </w:r>
      <w:r w:rsidR="008E7C9E">
        <w:rPr>
          <w:sz w:val="28"/>
          <w:szCs w:val="28"/>
        </w:rPr>
        <w:t>d’</w:t>
      </w:r>
      <w:r>
        <w:rPr>
          <w:sz w:val="28"/>
          <w:szCs w:val="28"/>
        </w:rPr>
        <w:t>imposition.</w:t>
      </w:r>
    </w:p>
    <w:p w:rsidR="00460692" w:rsidRDefault="00CD7870" w:rsidP="005D0BE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Reconnaître et identifier les différents maillons de la </w:t>
      </w:r>
      <w:r w:rsidR="00460692">
        <w:rPr>
          <w:sz w:val="28"/>
          <w:szCs w:val="28"/>
        </w:rPr>
        <w:t>chaîne graphique.</w:t>
      </w:r>
    </w:p>
    <w:p w:rsidR="00460692" w:rsidRDefault="00460692" w:rsidP="00460692">
      <w:pPr>
        <w:rPr>
          <w:sz w:val="28"/>
          <w:szCs w:val="28"/>
        </w:rPr>
      </w:pPr>
    </w:p>
    <w:p w:rsidR="00D11A1A" w:rsidRDefault="00CE2AE6" w:rsidP="0073561D">
      <w:pPr>
        <w:tabs>
          <w:tab w:val="left" w:pos="900"/>
          <w:tab w:val="right" w:pos="1620"/>
        </w:tabs>
        <w:rPr>
          <w:sz w:val="28"/>
          <w:szCs w:val="28"/>
        </w:rPr>
      </w:pPr>
      <w:r w:rsidRPr="00F263A1">
        <w:rPr>
          <w:b/>
          <w:bCs/>
          <w:sz w:val="28"/>
          <w:szCs w:val="28"/>
        </w:rPr>
        <w:t>3</w:t>
      </w:r>
      <w:r w:rsidR="0073561D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</w:t>
      </w:r>
      <w:r w:rsidRPr="00F263A1">
        <w:rPr>
          <w:b/>
          <w:bCs/>
          <w:sz w:val="28"/>
          <w:szCs w:val="28"/>
          <w:u w:val="single"/>
        </w:rPr>
        <w:t>Contenus </w:t>
      </w:r>
      <w:r w:rsidRPr="00F263A1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(Pour plus de détails, voir programme)</w:t>
      </w:r>
    </w:p>
    <w:p w:rsidR="00D11A1A" w:rsidRDefault="00D11A1A" w:rsidP="00D11A1A">
      <w:pPr>
        <w:tabs>
          <w:tab w:val="left" w:pos="900"/>
          <w:tab w:val="right" w:pos="1620"/>
        </w:tabs>
        <w:rPr>
          <w:sz w:val="28"/>
          <w:szCs w:val="28"/>
        </w:rPr>
      </w:pPr>
    </w:p>
    <w:p w:rsidR="00CE2AE6" w:rsidRDefault="00D11A1A" w:rsidP="0073561D">
      <w:pPr>
        <w:tabs>
          <w:tab w:val="left" w:pos="900"/>
          <w:tab w:val="right" w:pos="16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-  </w:t>
      </w:r>
      <w:r>
        <w:rPr>
          <w:b/>
          <w:sz w:val="28"/>
          <w:szCs w:val="28"/>
        </w:rPr>
        <w:t xml:space="preserve">Introduction au graphisme publicitaire. </w:t>
      </w:r>
    </w:p>
    <w:p w:rsidR="00D11A1A" w:rsidRPr="00D11A1A" w:rsidRDefault="00D11A1A" w:rsidP="00D11A1A">
      <w:pPr>
        <w:tabs>
          <w:tab w:val="left" w:pos="900"/>
          <w:tab w:val="right" w:pos="1620"/>
        </w:tabs>
        <w:rPr>
          <w:b/>
          <w:sz w:val="28"/>
          <w:szCs w:val="28"/>
        </w:rPr>
      </w:pPr>
    </w:p>
    <w:p w:rsidR="00061826" w:rsidRDefault="00061826" w:rsidP="004C40B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E2AE6">
        <w:rPr>
          <w:b/>
          <w:bCs/>
          <w:sz w:val="28"/>
          <w:szCs w:val="28"/>
        </w:rPr>
        <w:t>-</w:t>
      </w:r>
      <w:r w:rsidR="004C40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C40B1">
        <w:rPr>
          <w:sz w:val="28"/>
          <w:szCs w:val="28"/>
        </w:rPr>
        <w:t xml:space="preserve"> </w:t>
      </w:r>
      <w:r w:rsidRPr="0081005F">
        <w:rPr>
          <w:b/>
          <w:bCs/>
          <w:sz w:val="28"/>
          <w:szCs w:val="28"/>
        </w:rPr>
        <w:t>Les outils de dessin et de la couleur</w:t>
      </w:r>
      <w:r>
        <w:rPr>
          <w:sz w:val="28"/>
          <w:szCs w:val="28"/>
        </w:rPr>
        <w:t>.</w:t>
      </w:r>
    </w:p>
    <w:p w:rsidR="00D11A1A" w:rsidRDefault="00243CAD" w:rsidP="00D11A1A">
      <w:pPr>
        <w:numPr>
          <w:ilvl w:val="0"/>
          <w:numId w:val="3"/>
        </w:numPr>
        <w:ind w:hanging="463"/>
        <w:rPr>
          <w:sz w:val="28"/>
          <w:szCs w:val="28"/>
          <w:u w:val="single"/>
        </w:rPr>
      </w:pPr>
      <w:r w:rsidRPr="00243CAD">
        <w:rPr>
          <w:sz w:val="28"/>
          <w:szCs w:val="28"/>
        </w:rPr>
        <w:t>Reconnaître et appliquer les techniques du dessin vectoriel</w:t>
      </w:r>
      <w:r>
        <w:rPr>
          <w:sz w:val="28"/>
          <w:szCs w:val="28"/>
          <w:u w:val="single"/>
        </w:rPr>
        <w:t>.</w:t>
      </w:r>
    </w:p>
    <w:p w:rsidR="004C40B1" w:rsidRDefault="00243CAD" w:rsidP="001E4A57">
      <w:pPr>
        <w:numPr>
          <w:ilvl w:val="0"/>
          <w:numId w:val="3"/>
        </w:numPr>
        <w:ind w:hanging="463"/>
        <w:rPr>
          <w:sz w:val="28"/>
          <w:szCs w:val="28"/>
        </w:rPr>
      </w:pPr>
      <w:r w:rsidRPr="00243CAD">
        <w:rPr>
          <w:sz w:val="28"/>
          <w:szCs w:val="28"/>
        </w:rPr>
        <w:t>Création d’image</w:t>
      </w:r>
      <w:r w:rsidR="004C40B1">
        <w:rPr>
          <w:sz w:val="28"/>
          <w:szCs w:val="28"/>
        </w:rPr>
        <w:t>s vectorielles</w:t>
      </w:r>
    </w:p>
    <w:p w:rsidR="004C40B1" w:rsidRDefault="004C40B1" w:rsidP="004C40B1">
      <w:pPr>
        <w:rPr>
          <w:sz w:val="28"/>
          <w:szCs w:val="28"/>
        </w:rPr>
      </w:pPr>
    </w:p>
    <w:p w:rsidR="001E4A57" w:rsidRDefault="00CE2AE6" w:rsidP="00CE2AE6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-  </w:t>
      </w:r>
      <w:r w:rsidR="001E4A57" w:rsidRPr="0081005F">
        <w:rPr>
          <w:b/>
          <w:bCs/>
          <w:sz w:val="28"/>
          <w:szCs w:val="28"/>
        </w:rPr>
        <w:t xml:space="preserve">L’image </w:t>
      </w:r>
      <w:r w:rsidR="00AF08F4" w:rsidRPr="0081005F">
        <w:rPr>
          <w:b/>
          <w:bCs/>
          <w:sz w:val="28"/>
          <w:szCs w:val="28"/>
        </w:rPr>
        <w:t>photographique</w:t>
      </w:r>
      <w:r w:rsidR="00AF08F4">
        <w:rPr>
          <w:sz w:val="28"/>
          <w:szCs w:val="28"/>
        </w:rPr>
        <w:t xml:space="preserve">. </w:t>
      </w:r>
    </w:p>
    <w:p w:rsidR="00243CAD" w:rsidRDefault="00AF08F4" w:rsidP="001E4A57">
      <w:pPr>
        <w:numPr>
          <w:ilvl w:val="0"/>
          <w:numId w:val="5"/>
        </w:numPr>
        <w:ind w:firstLine="180"/>
        <w:rPr>
          <w:sz w:val="28"/>
          <w:szCs w:val="28"/>
        </w:rPr>
      </w:pPr>
      <w:r>
        <w:rPr>
          <w:sz w:val="28"/>
          <w:szCs w:val="28"/>
        </w:rPr>
        <w:t>Configurer des images dans illustrator</w:t>
      </w:r>
      <w:r w:rsidR="004732D7">
        <w:rPr>
          <w:sz w:val="28"/>
          <w:szCs w:val="28"/>
        </w:rPr>
        <w:t>.</w:t>
      </w:r>
    </w:p>
    <w:p w:rsidR="004732D7" w:rsidRDefault="004732D7" w:rsidP="001E4A57">
      <w:pPr>
        <w:numPr>
          <w:ilvl w:val="0"/>
          <w:numId w:val="5"/>
        </w:num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Gérer les calques les masques et les </w:t>
      </w:r>
      <w:r w:rsidR="000B3511">
        <w:rPr>
          <w:sz w:val="28"/>
          <w:szCs w:val="28"/>
        </w:rPr>
        <w:t>filtres.</w:t>
      </w:r>
    </w:p>
    <w:p w:rsidR="004732D7" w:rsidRDefault="004732D7" w:rsidP="001E4A57">
      <w:pPr>
        <w:numPr>
          <w:ilvl w:val="0"/>
          <w:numId w:val="5"/>
        </w:num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Gérer la </w:t>
      </w:r>
      <w:r w:rsidR="006868E0">
        <w:rPr>
          <w:sz w:val="28"/>
          <w:szCs w:val="28"/>
        </w:rPr>
        <w:t>colorimétrie,</w:t>
      </w:r>
      <w:r>
        <w:rPr>
          <w:sz w:val="28"/>
          <w:szCs w:val="28"/>
        </w:rPr>
        <w:t xml:space="preserve"> la résolution et le tramage </w:t>
      </w:r>
    </w:p>
    <w:p w:rsidR="0081005F" w:rsidRDefault="0081005F" w:rsidP="0081005F">
      <w:pPr>
        <w:rPr>
          <w:sz w:val="28"/>
          <w:szCs w:val="28"/>
        </w:rPr>
      </w:pPr>
    </w:p>
    <w:p w:rsidR="0081005F" w:rsidRDefault="00CE2AE6" w:rsidP="00CE2AE6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 </w:t>
      </w:r>
      <w:r w:rsidR="0081005F" w:rsidRPr="0081005F">
        <w:rPr>
          <w:b/>
          <w:bCs/>
          <w:sz w:val="28"/>
          <w:szCs w:val="28"/>
        </w:rPr>
        <w:t>L’image et la publicité</w:t>
      </w:r>
      <w:r w:rsidR="0081005F">
        <w:rPr>
          <w:sz w:val="28"/>
          <w:szCs w:val="28"/>
        </w:rPr>
        <w:t xml:space="preserve"> </w:t>
      </w:r>
    </w:p>
    <w:p w:rsidR="006868E0" w:rsidRDefault="006868E0" w:rsidP="006868E0">
      <w:pPr>
        <w:numPr>
          <w:ilvl w:val="0"/>
          <w:numId w:val="6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Application sur l’édition </w:t>
      </w:r>
      <w:r w:rsidR="006D562A">
        <w:rPr>
          <w:sz w:val="28"/>
          <w:szCs w:val="28"/>
        </w:rPr>
        <w:t>graphique.</w:t>
      </w:r>
    </w:p>
    <w:p w:rsidR="00C35D6C" w:rsidRDefault="00C35D6C" w:rsidP="006868E0">
      <w:pPr>
        <w:numPr>
          <w:ilvl w:val="0"/>
          <w:numId w:val="6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>Application des techniques de mise en page.</w:t>
      </w:r>
    </w:p>
    <w:p w:rsidR="00C35D6C" w:rsidRDefault="00C35D6C" w:rsidP="00C35D6C">
      <w:pPr>
        <w:rPr>
          <w:sz w:val="28"/>
          <w:szCs w:val="28"/>
        </w:rPr>
      </w:pPr>
    </w:p>
    <w:p w:rsidR="00C35D6C" w:rsidRDefault="00CE2AE6" w:rsidP="00CE2AE6">
      <w:pPr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6C26C9">
        <w:rPr>
          <w:b/>
          <w:bCs/>
          <w:sz w:val="28"/>
          <w:szCs w:val="28"/>
        </w:rPr>
        <w:t>Le Print</w:t>
      </w:r>
    </w:p>
    <w:p w:rsidR="006A4DD9" w:rsidRPr="006A4DD9" w:rsidRDefault="006C26C9" w:rsidP="006C26C9">
      <w:pPr>
        <w:numPr>
          <w:ilvl w:val="0"/>
          <w:numId w:val="7"/>
        </w:numPr>
        <w:ind w:firstLine="18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Reconnaître et identifier les maillons de la </w:t>
      </w:r>
      <w:r w:rsidR="00614505">
        <w:rPr>
          <w:sz w:val="28"/>
          <w:szCs w:val="28"/>
        </w:rPr>
        <w:t>chaîne graphique (le</w:t>
      </w:r>
    </w:p>
    <w:p w:rsidR="00614505" w:rsidRPr="00614505" w:rsidRDefault="006A4DD9" w:rsidP="006A4DD9">
      <w:pPr>
        <w:ind w:left="72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45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B3511">
        <w:rPr>
          <w:sz w:val="28"/>
          <w:szCs w:val="28"/>
        </w:rPr>
        <w:t>Prépresse</w:t>
      </w:r>
      <w:r>
        <w:rPr>
          <w:sz w:val="28"/>
          <w:szCs w:val="28"/>
        </w:rPr>
        <w:t>,</w:t>
      </w:r>
      <w:r w:rsidR="00614505">
        <w:rPr>
          <w:sz w:val="28"/>
          <w:szCs w:val="28"/>
        </w:rPr>
        <w:t xml:space="preserve"> la production et la </w:t>
      </w:r>
      <w:r>
        <w:rPr>
          <w:sz w:val="28"/>
          <w:szCs w:val="28"/>
        </w:rPr>
        <w:t>finition)</w:t>
      </w:r>
    </w:p>
    <w:p w:rsidR="005F0533" w:rsidRPr="00EE5117" w:rsidRDefault="006A4DD9" w:rsidP="006C26C9">
      <w:pPr>
        <w:numPr>
          <w:ilvl w:val="0"/>
          <w:numId w:val="7"/>
        </w:numPr>
        <w:ind w:firstLine="18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Les procédés d’impression </w:t>
      </w:r>
      <w:r w:rsidR="00CA5AC1">
        <w:rPr>
          <w:sz w:val="28"/>
          <w:szCs w:val="28"/>
        </w:rPr>
        <w:t>(conventionnels</w:t>
      </w:r>
      <w:r w:rsidR="005F0533">
        <w:rPr>
          <w:sz w:val="28"/>
          <w:szCs w:val="28"/>
        </w:rPr>
        <w:t xml:space="preserve"> et </w:t>
      </w:r>
      <w:r w:rsidR="00CA5AC1">
        <w:rPr>
          <w:sz w:val="28"/>
          <w:szCs w:val="28"/>
        </w:rPr>
        <w:t>numériques)</w:t>
      </w:r>
      <w:r w:rsidR="00614505">
        <w:rPr>
          <w:sz w:val="28"/>
          <w:szCs w:val="28"/>
        </w:rPr>
        <w:t xml:space="preserve"> </w:t>
      </w:r>
      <w:r w:rsidR="00EE5117">
        <w:rPr>
          <w:rFonts w:hint="cs"/>
          <w:sz w:val="28"/>
          <w:szCs w:val="28"/>
          <w:rtl/>
        </w:rPr>
        <w:t>.</w:t>
      </w:r>
    </w:p>
    <w:p w:rsidR="00C14260" w:rsidRDefault="005F0533" w:rsidP="00AE7E7B">
      <w:pPr>
        <w:jc w:val="center"/>
        <w:rPr>
          <w:b/>
          <w:bCs/>
          <w:sz w:val="32"/>
          <w:szCs w:val="32"/>
        </w:rPr>
      </w:pPr>
      <w:r w:rsidRPr="005F0533">
        <w:rPr>
          <w:b/>
          <w:bCs/>
          <w:sz w:val="32"/>
          <w:szCs w:val="32"/>
        </w:rPr>
        <w:lastRenderedPageBreak/>
        <w:t>Importance des chapitres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68"/>
        <w:gridCol w:w="3344"/>
      </w:tblGrid>
      <w:tr w:rsidR="00C14260" w:rsidTr="0073561D">
        <w:tc>
          <w:tcPr>
            <w:tcW w:w="5868" w:type="dxa"/>
          </w:tcPr>
          <w:p w:rsidR="00216534" w:rsidRPr="0073561D" w:rsidRDefault="00C14260" w:rsidP="009C0614">
            <w:pPr>
              <w:jc w:val="center"/>
              <w:rPr>
                <w:b/>
                <w:bCs/>
                <w:sz w:val="28"/>
                <w:szCs w:val="28"/>
              </w:rPr>
            </w:pPr>
            <w:r w:rsidRPr="0073561D">
              <w:rPr>
                <w:b/>
                <w:bCs/>
                <w:sz w:val="28"/>
                <w:szCs w:val="28"/>
              </w:rPr>
              <w:t>Chapitre</w:t>
            </w:r>
          </w:p>
        </w:tc>
        <w:tc>
          <w:tcPr>
            <w:tcW w:w="3344" w:type="dxa"/>
          </w:tcPr>
          <w:p w:rsidR="00C14260" w:rsidRPr="0073561D" w:rsidRDefault="00C14260" w:rsidP="009C0614">
            <w:pPr>
              <w:rPr>
                <w:b/>
                <w:bCs/>
                <w:sz w:val="28"/>
                <w:szCs w:val="28"/>
              </w:rPr>
            </w:pPr>
            <w:r w:rsidRPr="0073561D">
              <w:rPr>
                <w:b/>
                <w:bCs/>
                <w:sz w:val="28"/>
                <w:szCs w:val="28"/>
              </w:rPr>
              <w:t xml:space="preserve">    Degré d’importance</w:t>
            </w:r>
          </w:p>
        </w:tc>
      </w:tr>
      <w:tr w:rsidR="00C14260" w:rsidTr="0073561D">
        <w:tc>
          <w:tcPr>
            <w:tcW w:w="5868" w:type="dxa"/>
          </w:tcPr>
          <w:p w:rsidR="006D562A" w:rsidRPr="001C09FF" w:rsidRDefault="00D11A1A" w:rsidP="001C09FF">
            <w:pPr>
              <w:ind w:left="360"/>
              <w:rPr>
                <w:sz w:val="28"/>
                <w:szCs w:val="28"/>
              </w:rPr>
            </w:pPr>
            <w:r w:rsidRPr="001C09FF">
              <w:rPr>
                <w:sz w:val="28"/>
                <w:szCs w:val="28"/>
              </w:rPr>
              <w:t xml:space="preserve">-  Introduction au graphisme publicitaire                </w:t>
            </w:r>
          </w:p>
          <w:p w:rsidR="006D562A" w:rsidRPr="001C09FF" w:rsidRDefault="00CA5AC1" w:rsidP="001C09FF">
            <w:pPr>
              <w:ind w:left="360"/>
              <w:rPr>
                <w:sz w:val="28"/>
                <w:szCs w:val="28"/>
              </w:rPr>
            </w:pPr>
            <w:r w:rsidRPr="001C09FF">
              <w:rPr>
                <w:sz w:val="28"/>
                <w:szCs w:val="28"/>
              </w:rPr>
              <w:t>-  Les outils de dessin et de la</w:t>
            </w:r>
            <w:r w:rsidR="00CE2AE6" w:rsidRPr="001C09FF">
              <w:rPr>
                <w:sz w:val="28"/>
                <w:szCs w:val="28"/>
              </w:rPr>
              <w:t xml:space="preserve"> </w:t>
            </w:r>
            <w:r w:rsidR="00235855" w:rsidRPr="001C09FF">
              <w:rPr>
                <w:sz w:val="28"/>
                <w:szCs w:val="28"/>
              </w:rPr>
              <w:t>c</w:t>
            </w:r>
            <w:r w:rsidRPr="001C09FF">
              <w:rPr>
                <w:sz w:val="28"/>
                <w:szCs w:val="28"/>
              </w:rPr>
              <w:t>ouleur</w:t>
            </w:r>
          </w:p>
          <w:p w:rsidR="006D562A" w:rsidRPr="001C09FF" w:rsidRDefault="006D562A" w:rsidP="001C09FF">
            <w:pPr>
              <w:ind w:left="360"/>
              <w:rPr>
                <w:sz w:val="28"/>
                <w:szCs w:val="28"/>
              </w:rPr>
            </w:pPr>
            <w:r w:rsidRPr="001C09FF">
              <w:rPr>
                <w:sz w:val="28"/>
                <w:szCs w:val="28"/>
              </w:rPr>
              <w:t>-  L’image photographique</w:t>
            </w:r>
          </w:p>
          <w:p w:rsidR="006D562A" w:rsidRPr="001C09FF" w:rsidRDefault="00216534" w:rsidP="001C09FF">
            <w:pPr>
              <w:ind w:left="360"/>
              <w:rPr>
                <w:sz w:val="28"/>
                <w:szCs w:val="28"/>
              </w:rPr>
            </w:pPr>
            <w:r w:rsidRPr="001C09FF">
              <w:rPr>
                <w:sz w:val="28"/>
                <w:szCs w:val="28"/>
              </w:rPr>
              <w:t>-  L’image et la publicité</w:t>
            </w:r>
          </w:p>
          <w:p w:rsidR="00C14260" w:rsidRPr="001C09FF" w:rsidRDefault="00216534" w:rsidP="009C0614">
            <w:pPr>
              <w:ind w:left="360"/>
              <w:rPr>
                <w:sz w:val="28"/>
                <w:szCs w:val="28"/>
              </w:rPr>
            </w:pPr>
            <w:r w:rsidRPr="001C09FF">
              <w:rPr>
                <w:sz w:val="28"/>
                <w:szCs w:val="28"/>
              </w:rPr>
              <w:t>-  Le print</w:t>
            </w:r>
            <w:r w:rsidR="00CA5AC1" w:rsidRPr="001C09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44" w:type="dxa"/>
          </w:tcPr>
          <w:p w:rsidR="00C14260" w:rsidRPr="009C0614" w:rsidRDefault="00D11A1A" w:rsidP="00C14260">
            <w:pPr>
              <w:rPr>
                <w:b/>
                <w:bCs/>
                <w:sz w:val="28"/>
                <w:szCs w:val="28"/>
              </w:rPr>
            </w:pPr>
            <w:r w:rsidRPr="009C0614">
              <w:rPr>
                <w:b/>
                <w:bCs/>
                <w:sz w:val="28"/>
                <w:szCs w:val="28"/>
              </w:rPr>
              <w:t xml:space="preserve">                     10%</w:t>
            </w:r>
          </w:p>
          <w:p w:rsidR="00216534" w:rsidRPr="009C0614" w:rsidRDefault="00216534" w:rsidP="00C14260">
            <w:pPr>
              <w:rPr>
                <w:b/>
                <w:bCs/>
                <w:sz w:val="28"/>
                <w:szCs w:val="28"/>
              </w:rPr>
            </w:pPr>
            <w:r w:rsidRPr="009C0614">
              <w:rPr>
                <w:b/>
                <w:bCs/>
                <w:sz w:val="28"/>
                <w:szCs w:val="28"/>
              </w:rPr>
              <w:t xml:space="preserve">                     </w:t>
            </w:r>
            <w:r w:rsidR="00D11A1A" w:rsidRPr="009C0614">
              <w:rPr>
                <w:b/>
                <w:bCs/>
                <w:sz w:val="28"/>
                <w:szCs w:val="28"/>
              </w:rPr>
              <w:t>20</w:t>
            </w:r>
            <w:r w:rsidRPr="009C0614">
              <w:rPr>
                <w:b/>
                <w:bCs/>
                <w:sz w:val="28"/>
                <w:szCs w:val="28"/>
              </w:rPr>
              <w:t xml:space="preserve"> %</w:t>
            </w:r>
          </w:p>
          <w:p w:rsidR="00216534" w:rsidRPr="009C0614" w:rsidRDefault="00216534" w:rsidP="00CE2AE6">
            <w:pPr>
              <w:rPr>
                <w:b/>
                <w:bCs/>
                <w:sz w:val="28"/>
                <w:szCs w:val="28"/>
              </w:rPr>
            </w:pPr>
            <w:r w:rsidRPr="009C0614">
              <w:rPr>
                <w:b/>
                <w:bCs/>
                <w:sz w:val="28"/>
                <w:szCs w:val="28"/>
              </w:rPr>
              <w:t xml:space="preserve">               </w:t>
            </w:r>
            <w:r w:rsidR="00CE2AE6" w:rsidRPr="009C0614">
              <w:rPr>
                <w:b/>
                <w:bCs/>
                <w:sz w:val="28"/>
                <w:szCs w:val="28"/>
              </w:rPr>
              <w:t xml:space="preserve">    </w:t>
            </w:r>
            <w:r w:rsidRPr="009C0614">
              <w:rPr>
                <w:b/>
                <w:bCs/>
                <w:sz w:val="28"/>
                <w:szCs w:val="28"/>
              </w:rPr>
              <w:t xml:space="preserve">  </w:t>
            </w:r>
            <w:r w:rsidR="00D11A1A" w:rsidRPr="009C0614">
              <w:rPr>
                <w:b/>
                <w:bCs/>
                <w:sz w:val="28"/>
                <w:szCs w:val="28"/>
              </w:rPr>
              <w:t>30</w:t>
            </w:r>
            <w:r w:rsidRPr="009C0614">
              <w:rPr>
                <w:b/>
                <w:bCs/>
                <w:sz w:val="28"/>
                <w:szCs w:val="28"/>
              </w:rPr>
              <w:t xml:space="preserve"> %</w:t>
            </w:r>
          </w:p>
          <w:p w:rsidR="00216534" w:rsidRPr="009C0614" w:rsidRDefault="00216534" w:rsidP="00C14260">
            <w:pPr>
              <w:rPr>
                <w:b/>
                <w:bCs/>
                <w:sz w:val="28"/>
                <w:szCs w:val="28"/>
              </w:rPr>
            </w:pPr>
            <w:r w:rsidRPr="009C0614">
              <w:rPr>
                <w:b/>
                <w:bCs/>
                <w:sz w:val="28"/>
                <w:szCs w:val="28"/>
              </w:rPr>
              <w:t xml:space="preserve">                     </w:t>
            </w:r>
            <w:r w:rsidR="00D11A1A" w:rsidRPr="009C0614">
              <w:rPr>
                <w:b/>
                <w:bCs/>
                <w:sz w:val="28"/>
                <w:szCs w:val="28"/>
              </w:rPr>
              <w:t>30</w:t>
            </w:r>
            <w:r w:rsidRPr="009C0614">
              <w:rPr>
                <w:b/>
                <w:bCs/>
                <w:sz w:val="28"/>
                <w:szCs w:val="28"/>
              </w:rPr>
              <w:t xml:space="preserve"> %</w:t>
            </w:r>
          </w:p>
          <w:p w:rsidR="00216534" w:rsidRPr="009C0614" w:rsidRDefault="00216534" w:rsidP="00C14260">
            <w:pPr>
              <w:rPr>
                <w:b/>
                <w:bCs/>
                <w:sz w:val="28"/>
                <w:szCs w:val="28"/>
              </w:rPr>
            </w:pPr>
            <w:r w:rsidRPr="009C0614">
              <w:rPr>
                <w:b/>
                <w:bCs/>
                <w:sz w:val="28"/>
                <w:szCs w:val="28"/>
              </w:rPr>
              <w:t xml:space="preserve">                     10 %</w:t>
            </w:r>
          </w:p>
        </w:tc>
      </w:tr>
    </w:tbl>
    <w:p w:rsidR="006C26C9" w:rsidRDefault="006C26C9" w:rsidP="00C14260">
      <w:pPr>
        <w:rPr>
          <w:sz w:val="32"/>
          <w:szCs w:val="32"/>
        </w:rPr>
      </w:pPr>
    </w:p>
    <w:p w:rsidR="000A63A1" w:rsidRPr="00CE2AE6" w:rsidRDefault="000A63A1" w:rsidP="00C14260">
      <w:pPr>
        <w:rPr>
          <w:b/>
          <w:bCs/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 </w:t>
      </w:r>
      <w:r w:rsidRPr="00CE2AE6">
        <w:rPr>
          <w:b/>
          <w:bCs/>
          <w:sz w:val="32"/>
          <w:szCs w:val="32"/>
          <w:u w:val="single"/>
        </w:rPr>
        <w:t xml:space="preserve">Nature des questions </w:t>
      </w:r>
    </w:p>
    <w:p w:rsidR="000A63A1" w:rsidRPr="00EE5117" w:rsidRDefault="000A63A1" w:rsidP="000A63A1">
      <w:pPr>
        <w:rPr>
          <w:sz w:val="16"/>
          <w:szCs w:val="16"/>
        </w:rPr>
      </w:pPr>
    </w:p>
    <w:p w:rsidR="000A63A1" w:rsidRDefault="0013628F" w:rsidP="000B3511">
      <w:pPr>
        <w:numPr>
          <w:ilvl w:val="0"/>
          <w:numId w:val="7"/>
        </w:numPr>
        <w:tabs>
          <w:tab w:val="left" w:pos="96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Questions ouvertes</w:t>
      </w:r>
    </w:p>
    <w:p w:rsidR="00D11A1A" w:rsidRDefault="00D11A1A" w:rsidP="00307AB6">
      <w:pPr>
        <w:numPr>
          <w:ilvl w:val="0"/>
          <w:numId w:val="7"/>
        </w:numPr>
        <w:tabs>
          <w:tab w:val="left" w:pos="96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Questions à </w:t>
      </w:r>
      <w:r w:rsidR="00307AB6">
        <w:rPr>
          <w:sz w:val="28"/>
          <w:szCs w:val="28"/>
        </w:rPr>
        <w:t>choix</w:t>
      </w:r>
      <w:r>
        <w:rPr>
          <w:sz w:val="28"/>
          <w:szCs w:val="28"/>
        </w:rPr>
        <w:t xml:space="preserve"> multiples. </w:t>
      </w:r>
    </w:p>
    <w:p w:rsidR="0013628F" w:rsidRDefault="0013628F" w:rsidP="000B3511">
      <w:pPr>
        <w:numPr>
          <w:ilvl w:val="0"/>
          <w:numId w:val="7"/>
        </w:numPr>
        <w:tabs>
          <w:tab w:val="left" w:pos="96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Analyse d’un document </w:t>
      </w:r>
      <w:r w:rsidR="00535D74">
        <w:rPr>
          <w:sz w:val="28"/>
          <w:szCs w:val="28"/>
        </w:rPr>
        <w:t>infographique.</w:t>
      </w:r>
    </w:p>
    <w:p w:rsidR="00535D74" w:rsidRDefault="00535D74" w:rsidP="000B3511">
      <w:pPr>
        <w:numPr>
          <w:ilvl w:val="0"/>
          <w:numId w:val="7"/>
        </w:numPr>
        <w:tabs>
          <w:tab w:val="left" w:pos="964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Applications infographiques.</w:t>
      </w:r>
    </w:p>
    <w:p w:rsidR="009929DD" w:rsidRDefault="0080627D" w:rsidP="0080627D">
      <w:pPr>
        <w:tabs>
          <w:tab w:val="left" w:pos="964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D4E81" w:rsidRPr="00CE2AE6" w:rsidRDefault="009929DD" w:rsidP="0080627D">
      <w:pPr>
        <w:tabs>
          <w:tab w:val="left" w:pos="964"/>
        </w:tabs>
        <w:ind w:left="360"/>
        <w:rPr>
          <w:b/>
          <w:bCs/>
          <w:sz w:val="32"/>
          <w:szCs w:val="32"/>
          <w:u w:val="single"/>
        </w:rPr>
      </w:pPr>
      <w:r>
        <w:rPr>
          <w:sz w:val="28"/>
          <w:szCs w:val="28"/>
        </w:rPr>
        <w:t xml:space="preserve">                                      </w:t>
      </w:r>
      <w:r w:rsidR="0080627D">
        <w:rPr>
          <w:sz w:val="28"/>
          <w:szCs w:val="28"/>
        </w:rPr>
        <w:t xml:space="preserve"> </w:t>
      </w:r>
      <w:r w:rsidR="0080627D" w:rsidRPr="00CE2AE6">
        <w:rPr>
          <w:b/>
          <w:bCs/>
          <w:sz w:val="32"/>
          <w:szCs w:val="32"/>
          <w:u w:val="single"/>
        </w:rPr>
        <w:t>Canevas de l’</w:t>
      </w:r>
      <w:r w:rsidR="007D4E81" w:rsidRPr="00CE2AE6">
        <w:rPr>
          <w:b/>
          <w:bCs/>
          <w:sz w:val="32"/>
          <w:szCs w:val="32"/>
          <w:u w:val="single"/>
        </w:rPr>
        <w:t xml:space="preserve">épreuve </w:t>
      </w:r>
    </w:p>
    <w:p w:rsidR="009929DD" w:rsidRDefault="009929DD" w:rsidP="00E97DE1">
      <w:pPr>
        <w:rPr>
          <w:sz w:val="32"/>
          <w:szCs w:val="32"/>
        </w:rPr>
      </w:pPr>
    </w:p>
    <w:p w:rsidR="0080627D" w:rsidRDefault="009929DD" w:rsidP="00E97DE1">
      <w:pPr>
        <w:rPr>
          <w:sz w:val="28"/>
          <w:szCs w:val="28"/>
        </w:rPr>
      </w:pPr>
      <w:r>
        <w:rPr>
          <w:sz w:val="32"/>
          <w:szCs w:val="32"/>
        </w:rPr>
        <w:t xml:space="preserve">             </w:t>
      </w:r>
      <w:r w:rsidR="00D11A1A">
        <w:rPr>
          <w:sz w:val="28"/>
          <w:szCs w:val="28"/>
        </w:rPr>
        <w:t>3</w:t>
      </w:r>
      <w:r w:rsidR="007D4E81">
        <w:rPr>
          <w:sz w:val="28"/>
          <w:szCs w:val="28"/>
        </w:rPr>
        <w:t xml:space="preserve"> questions réparties comme </w:t>
      </w:r>
      <w:r w:rsidR="00E97DE1">
        <w:rPr>
          <w:sz w:val="28"/>
          <w:szCs w:val="28"/>
        </w:rPr>
        <w:t>suite :</w:t>
      </w:r>
    </w:p>
    <w:p w:rsidR="00D11A1A" w:rsidRDefault="00E97DE1" w:rsidP="00D11A1A">
      <w:pPr>
        <w:numPr>
          <w:ilvl w:val="0"/>
          <w:numId w:val="8"/>
        </w:numPr>
        <w:ind w:right="-157"/>
        <w:rPr>
          <w:sz w:val="28"/>
          <w:szCs w:val="28"/>
        </w:rPr>
      </w:pPr>
      <w:r>
        <w:rPr>
          <w:sz w:val="28"/>
          <w:szCs w:val="28"/>
        </w:rPr>
        <w:t>Connaissance et identification </w:t>
      </w:r>
      <w:r w:rsidR="00D11A1A">
        <w:rPr>
          <w:sz w:val="28"/>
          <w:szCs w:val="28"/>
        </w:rPr>
        <w:t>des outils et des techniques</w:t>
      </w:r>
    </w:p>
    <w:p w:rsidR="00E97DE1" w:rsidRDefault="00D11A1A" w:rsidP="000E19F1">
      <w:pPr>
        <w:ind w:left="1350" w:right="-15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C6DFB">
        <w:rPr>
          <w:sz w:val="28"/>
          <w:szCs w:val="28"/>
        </w:rPr>
        <w:t>Infographiques</w:t>
      </w:r>
      <w:r>
        <w:rPr>
          <w:sz w:val="28"/>
          <w:szCs w:val="28"/>
        </w:rPr>
        <w:t>.</w:t>
      </w:r>
      <w:r w:rsidR="00E97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</w:t>
      </w:r>
      <w:r w:rsidR="000E19F1">
        <w:rPr>
          <w:sz w:val="28"/>
          <w:szCs w:val="28"/>
        </w:rPr>
        <w:t xml:space="preserve">                           </w:t>
      </w:r>
      <w:r w:rsidR="000E19F1" w:rsidRPr="00EE5117">
        <w:rPr>
          <w:b/>
          <w:bCs/>
          <w:sz w:val="28"/>
          <w:szCs w:val="28"/>
        </w:rPr>
        <w:t>3</w:t>
      </w:r>
      <w:r w:rsidRPr="00EE5117">
        <w:rPr>
          <w:b/>
          <w:bCs/>
          <w:sz w:val="28"/>
          <w:szCs w:val="28"/>
        </w:rPr>
        <w:t>0%</w:t>
      </w:r>
    </w:p>
    <w:p w:rsidR="00535D74" w:rsidRDefault="00235855" w:rsidP="000E19F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Analyse</w:t>
      </w:r>
      <w:r w:rsidR="00D11A1A">
        <w:rPr>
          <w:sz w:val="28"/>
          <w:szCs w:val="28"/>
        </w:rPr>
        <w:t xml:space="preserve"> d’images </w:t>
      </w:r>
      <w:r w:rsidR="002C6DFB">
        <w:rPr>
          <w:sz w:val="28"/>
          <w:szCs w:val="28"/>
        </w:rPr>
        <w:t>infographiques</w:t>
      </w:r>
      <w:r w:rsidR="00D11A1A">
        <w:rPr>
          <w:sz w:val="28"/>
          <w:szCs w:val="28"/>
        </w:rPr>
        <w:t xml:space="preserve">. </w:t>
      </w:r>
      <w:r w:rsidR="000E19F1">
        <w:rPr>
          <w:sz w:val="28"/>
          <w:szCs w:val="28"/>
        </w:rPr>
        <w:t xml:space="preserve">                                       </w:t>
      </w:r>
      <w:r w:rsidR="000E19F1" w:rsidRPr="00EE5117">
        <w:rPr>
          <w:b/>
          <w:bCs/>
          <w:sz w:val="28"/>
          <w:szCs w:val="28"/>
        </w:rPr>
        <w:t>30%</w:t>
      </w:r>
    </w:p>
    <w:p w:rsidR="000E19F1" w:rsidRDefault="00535D74" w:rsidP="000E19F1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Applications</w:t>
      </w:r>
      <w:r w:rsidR="00D11A1A">
        <w:rPr>
          <w:sz w:val="28"/>
          <w:szCs w:val="28"/>
        </w:rPr>
        <w:t xml:space="preserve">                                            </w:t>
      </w:r>
      <w:r w:rsidR="000E19F1">
        <w:rPr>
          <w:sz w:val="28"/>
          <w:szCs w:val="28"/>
        </w:rPr>
        <w:t xml:space="preserve">                              </w:t>
      </w:r>
      <w:r w:rsidR="000E19F1" w:rsidRPr="00EE5117">
        <w:rPr>
          <w:b/>
          <w:bCs/>
          <w:sz w:val="28"/>
          <w:szCs w:val="28"/>
        </w:rPr>
        <w:t>40%</w:t>
      </w:r>
    </w:p>
    <w:p w:rsidR="00E97DE1" w:rsidRPr="007D4E81" w:rsidRDefault="00E97DE1" w:rsidP="000E19F1">
      <w:pPr>
        <w:ind w:left="1350"/>
        <w:rPr>
          <w:sz w:val="28"/>
          <w:szCs w:val="28"/>
        </w:rPr>
      </w:pPr>
    </w:p>
    <w:sectPr w:rsidR="00E97DE1" w:rsidRPr="007D4E81" w:rsidSect="00D11A1A">
      <w:footerReference w:type="even" r:id="rId8"/>
      <w:footerReference w:type="default" r:id="rId9"/>
      <w:pgSz w:w="11906" w:h="16838"/>
      <w:pgMar w:top="1417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026" w:rsidRDefault="000B4026">
      <w:r>
        <w:separator/>
      </w:r>
    </w:p>
  </w:endnote>
  <w:endnote w:type="continuationSeparator" w:id="1">
    <w:p w:rsidR="000B4026" w:rsidRDefault="000B4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C9E" w:rsidRDefault="00E621C1" w:rsidP="00EE228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E7C9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E7C9E" w:rsidRDefault="008E7C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CF5" w:rsidRDefault="007B0CF5" w:rsidP="007B0CF5">
    <w:pPr>
      <w:pStyle w:val="Pieddepage"/>
    </w:pPr>
  </w:p>
  <w:p w:rsidR="007B0CF5" w:rsidRDefault="007B0CF5" w:rsidP="0073561D">
    <w:pPr>
      <w:pBdr>
        <w:top w:val="single" w:sz="18" w:space="0" w:color="auto" w:shadow="1"/>
        <w:left w:val="single" w:sz="18" w:space="27" w:color="auto" w:shadow="1"/>
        <w:bottom w:val="single" w:sz="18" w:space="1" w:color="auto" w:shadow="1"/>
        <w:right w:val="single" w:sz="18" w:space="4" w:color="auto" w:shadow="1"/>
      </w:pBdr>
      <w:bidi/>
      <w:ind w:left="708"/>
      <w:jc w:val="center"/>
      <w:rPr>
        <w:color w:val="000000"/>
        <w:sz w:val="18"/>
        <w:szCs w:val="18"/>
        <w:lang w:bidi="ar-MA"/>
      </w:rPr>
    </w:pPr>
    <w:r>
      <w:rPr>
        <w:rFonts w:hint="cs"/>
        <w:color w:val="000000"/>
        <w:sz w:val="18"/>
        <w:szCs w:val="18"/>
        <w:rtl/>
        <w:lang w:bidi="ar-MA"/>
      </w:rPr>
      <w:t xml:space="preserve">الامتحان الموحد الوطني لنيل شهادة البكالوريا. المترشحون الأحرار : الإطار المرجعي لاختبار مادة المعلوميات و الأنفوكرافيا </w:t>
    </w:r>
    <w:r>
      <w:rPr>
        <w:sz w:val="18"/>
        <w:szCs w:val="18"/>
        <w:rtl/>
      </w:rPr>
      <w:t xml:space="preserve">: </w:t>
    </w:r>
    <w:r w:rsidRPr="00A24B7C">
      <w:rPr>
        <w:sz w:val="18"/>
        <w:szCs w:val="18"/>
        <w:rtl/>
      </w:rPr>
      <w:t xml:space="preserve">شعبة </w:t>
    </w:r>
    <w:r>
      <w:rPr>
        <w:rFonts w:hint="cs"/>
        <w:sz w:val="18"/>
        <w:szCs w:val="18"/>
        <w:rtl/>
      </w:rPr>
      <w:t>الفنون التطبيقية</w:t>
    </w:r>
    <w:r w:rsidRPr="00F631FE">
      <w:rPr>
        <w:rFonts w:hint="cs"/>
        <w:color w:val="000000"/>
        <w:sz w:val="18"/>
        <w:szCs w:val="18"/>
        <w:rtl/>
        <w:lang w:bidi="ar-MA"/>
      </w:rPr>
      <w:t>-2010-</w:t>
    </w:r>
  </w:p>
  <w:p w:rsidR="007B0CF5" w:rsidRDefault="007B0CF5" w:rsidP="0073561D">
    <w:pPr>
      <w:pBdr>
        <w:top w:val="single" w:sz="18" w:space="0" w:color="auto" w:shadow="1"/>
        <w:left w:val="single" w:sz="18" w:space="27" w:color="auto" w:shadow="1"/>
        <w:bottom w:val="single" w:sz="18" w:space="1" w:color="auto" w:shadow="1"/>
        <w:right w:val="single" w:sz="18" w:space="4" w:color="auto" w:shadow="1"/>
      </w:pBdr>
      <w:tabs>
        <w:tab w:val="right" w:pos="7597"/>
      </w:tabs>
      <w:bidi/>
      <w:ind w:left="708"/>
      <w:jc w:val="center"/>
      <w:rPr>
        <w:color w:val="000000"/>
        <w:sz w:val="18"/>
        <w:szCs w:val="18"/>
        <w:rtl/>
        <w:lang w:bidi="ar-MA"/>
      </w:rPr>
    </w:pPr>
    <w:r>
      <w:rPr>
        <w:rFonts w:hint="cs"/>
        <w:color w:val="000000"/>
        <w:sz w:val="18"/>
        <w:szCs w:val="18"/>
        <w:rtl/>
        <w:lang w:bidi="ar-MA"/>
      </w:rPr>
      <w:t>مديرية التقويم وتنظيم الحياة المدرسية والتكوينات المشتركة بين الأكاديميات- المركز الوطني للتقويم و الامتحانات   الهاتف52/ 0537.71.44.53 –</w:t>
    </w:r>
  </w:p>
  <w:p w:rsidR="008E7C9E" w:rsidRPr="008C6803" w:rsidRDefault="007B0CF5" w:rsidP="0073561D">
    <w:pPr>
      <w:pBdr>
        <w:top w:val="single" w:sz="18" w:space="0" w:color="auto" w:shadow="1"/>
        <w:left w:val="single" w:sz="18" w:space="27" w:color="auto" w:shadow="1"/>
        <w:bottom w:val="single" w:sz="18" w:space="1" w:color="auto" w:shadow="1"/>
        <w:right w:val="single" w:sz="18" w:space="4" w:color="auto" w:shadow="1"/>
      </w:pBdr>
      <w:tabs>
        <w:tab w:val="right" w:pos="7597"/>
      </w:tabs>
      <w:bidi/>
      <w:ind w:left="708"/>
      <w:jc w:val="center"/>
      <w:rPr>
        <w:sz w:val="18"/>
        <w:szCs w:val="18"/>
      </w:rPr>
    </w:pPr>
    <w:r>
      <w:rPr>
        <w:rFonts w:hint="cs"/>
        <w:color w:val="000000"/>
        <w:sz w:val="18"/>
        <w:szCs w:val="18"/>
        <w:rtl/>
        <w:lang w:bidi="ar-MA"/>
      </w:rPr>
      <w:t xml:space="preserve">الفاكس : 0537.71.44.09 البريد الالكتروني : </w:t>
    </w:r>
    <w:hyperlink r:id="rId1" w:history="1">
      <w:r>
        <w:rPr>
          <w:rStyle w:val="Lienhypertexte"/>
          <w:rFonts w:ascii="Book Antiqua" w:hAnsi="Book Antiqua"/>
          <w:b/>
          <w:bCs/>
          <w:sz w:val="18"/>
          <w:szCs w:val="18"/>
          <w:lang w:bidi="ar-MA"/>
        </w:rPr>
        <w:t>cne@men.gov.ma</w:t>
      </w:r>
    </w:hyperlink>
    <w:r>
      <w:rPr>
        <w:rFonts w:ascii="Book Antiqua" w:hAnsi="Book Antiqua" w:hint="cs"/>
        <w:b/>
        <w:bCs/>
        <w:color w:val="000000"/>
        <w:sz w:val="18"/>
        <w:szCs w:val="18"/>
        <w:rtl/>
        <w:lang w:bidi="ar-MA"/>
      </w:rPr>
      <w:t xml:space="preserve">     </w:t>
    </w:r>
    <w:r>
      <w:rPr>
        <w:rFonts w:hint="cs"/>
        <w:color w:val="000000"/>
        <w:sz w:val="18"/>
        <w:szCs w:val="18"/>
        <w:rtl/>
        <w:lang w:bidi="ar-MA"/>
      </w:rPr>
      <w:t xml:space="preserve"> ص </w:t>
    </w:r>
    <w:r w:rsidR="00E621C1">
      <w:rPr>
        <w:rFonts w:hint="cs"/>
        <w:color w:val="000000"/>
        <w:sz w:val="18"/>
        <w:szCs w:val="18"/>
        <w:rtl/>
        <w:lang w:bidi="ar-MA"/>
      </w:rPr>
      <w:fldChar w:fldCharType="begin"/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>
      <w:rPr>
        <w:color w:val="000000"/>
        <w:sz w:val="18"/>
        <w:szCs w:val="18"/>
        <w:lang w:bidi="ar-MA"/>
      </w:rPr>
      <w:instrText>PAGE</w:instrText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 w:rsidR="00E621C1">
      <w:rPr>
        <w:rFonts w:hint="cs"/>
        <w:color w:val="000000"/>
        <w:sz w:val="18"/>
        <w:szCs w:val="18"/>
        <w:rtl/>
        <w:lang w:bidi="ar-MA"/>
      </w:rPr>
      <w:fldChar w:fldCharType="separate"/>
    </w:r>
    <w:r w:rsidR="00DE611B">
      <w:rPr>
        <w:noProof/>
        <w:color w:val="000000"/>
        <w:sz w:val="18"/>
        <w:szCs w:val="18"/>
        <w:rtl/>
        <w:lang w:bidi="ar-MA"/>
      </w:rPr>
      <w:t>1</w:t>
    </w:r>
    <w:r w:rsidR="00E621C1">
      <w:rPr>
        <w:rFonts w:hint="cs"/>
        <w:color w:val="000000"/>
        <w:sz w:val="18"/>
        <w:szCs w:val="18"/>
        <w:rtl/>
        <w:lang w:bidi="ar-MA"/>
      </w:rPr>
      <w:fldChar w:fldCharType="end"/>
    </w:r>
    <w:r>
      <w:rPr>
        <w:rFonts w:hint="cs"/>
        <w:color w:val="000000"/>
        <w:sz w:val="18"/>
        <w:szCs w:val="18"/>
        <w:rtl/>
        <w:lang w:bidi="ar-MA"/>
      </w:rPr>
      <w:t xml:space="preserve"> من </w:t>
    </w:r>
    <w:r w:rsidR="00E621C1">
      <w:rPr>
        <w:rFonts w:hint="cs"/>
        <w:color w:val="000000"/>
        <w:sz w:val="18"/>
        <w:szCs w:val="18"/>
        <w:rtl/>
        <w:lang w:bidi="ar-MA"/>
      </w:rPr>
      <w:fldChar w:fldCharType="begin"/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>
      <w:rPr>
        <w:color w:val="000000"/>
        <w:sz w:val="18"/>
        <w:szCs w:val="18"/>
        <w:lang w:bidi="ar-MA"/>
      </w:rPr>
      <w:instrText>NUMPAGES</w:instrText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 w:rsidR="00E621C1">
      <w:rPr>
        <w:rFonts w:hint="cs"/>
        <w:color w:val="000000"/>
        <w:sz w:val="18"/>
        <w:szCs w:val="18"/>
        <w:rtl/>
        <w:lang w:bidi="ar-MA"/>
      </w:rPr>
      <w:fldChar w:fldCharType="separate"/>
    </w:r>
    <w:r w:rsidR="00DE611B">
      <w:rPr>
        <w:noProof/>
        <w:color w:val="000000"/>
        <w:sz w:val="18"/>
        <w:szCs w:val="18"/>
        <w:rtl/>
        <w:lang w:bidi="ar-MA"/>
      </w:rPr>
      <w:t>2</w:t>
    </w:r>
    <w:r w:rsidR="00E621C1">
      <w:rPr>
        <w:rFonts w:hint="cs"/>
        <w:color w:val="000000"/>
        <w:sz w:val="18"/>
        <w:szCs w:val="18"/>
        <w:rtl/>
        <w:lang w:bidi="ar-M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026" w:rsidRDefault="000B4026">
      <w:r>
        <w:separator/>
      </w:r>
    </w:p>
  </w:footnote>
  <w:footnote w:type="continuationSeparator" w:id="1">
    <w:p w:rsidR="000B4026" w:rsidRDefault="000B4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23E"/>
    <w:multiLevelType w:val="hybridMultilevel"/>
    <w:tmpl w:val="6C6AB480"/>
    <w:lvl w:ilvl="0" w:tplc="040C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">
    <w:nsid w:val="08794DE2"/>
    <w:multiLevelType w:val="hybridMultilevel"/>
    <w:tmpl w:val="2E60929A"/>
    <w:lvl w:ilvl="0" w:tplc="040C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2">
    <w:nsid w:val="18896A73"/>
    <w:multiLevelType w:val="hybridMultilevel"/>
    <w:tmpl w:val="1EF64B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AA67BEB"/>
    <w:multiLevelType w:val="hybridMultilevel"/>
    <w:tmpl w:val="D9B0BA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3E455D"/>
    <w:multiLevelType w:val="hybridMultilevel"/>
    <w:tmpl w:val="7F3CBA0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9432BD4"/>
    <w:multiLevelType w:val="hybridMultilevel"/>
    <w:tmpl w:val="07209826"/>
    <w:lvl w:ilvl="0" w:tplc="7C9C06B0">
      <w:start w:val="2"/>
      <w:numFmt w:val="decimal"/>
      <w:lvlText w:val="%1)"/>
      <w:lvlJc w:val="left"/>
      <w:pPr>
        <w:tabs>
          <w:tab w:val="num" w:pos="1308"/>
        </w:tabs>
        <w:ind w:left="1308" w:hanging="450"/>
      </w:pPr>
      <w:rPr>
        <w:rFonts w:hint="default"/>
        <w:b/>
      </w:rPr>
    </w:lvl>
    <w:lvl w:ilvl="1" w:tplc="040C0001">
      <w:start w:val="1"/>
      <w:numFmt w:val="bullet"/>
      <w:lvlText w:val="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  <w:b/>
      </w:rPr>
    </w:lvl>
    <w:lvl w:ilvl="2" w:tplc="8D1AC7B6">
      <w:start w:val="4"/>
      <w:numFmt w:val="bullet"/>
      <w:lvlText w:val="-"/>
      <w:lvlJc w:val="left"/>
      <w:pPr>
        <w:tabs>
          <w:tab w:val="num" w:pos="2838"/>
        </w:tabs>
        <w:ind w:left="2838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6">
    <w:nsid w:val="4B0844D4"/>
    <w:multiLevelType w:val="hybridMultilevel"/>
    <w:tmpl w:val="6CB4D7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131F12"/>
    <w:multiLevelType w:val="hybridMultilevel"/>
    <w:tmpl w:val="586CA91C"/>
    <w:lvl w:ilvl="0" w:tplc="040C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8">
    <w:nsid w:val="68E73D5B"/>
    <w:multiLevelType w:val="hybridMultilevel"/>
    <w:tmpl w:val="2758BC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D0610CC"/>
    <w:multiLevelType w:val="hybridMultilevel"/>
    <w:tmpl w:val="212843DE"/>
    <w:lvl w:ilvl="0" w:tplc="040C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8D0"/>
    <w:rsid w:val="000527A4"/>
    <w:rsid w:val="0005603E"/>
    <w:rsid w:val="00060E85"/>
    <w:rsid w:val="00061826"/>
    <w:rsid w:val="000A63A1"/>
    <w:rsid w:val="000B1215"/>
    <w:rsid w:val="000B3511"/>
    <w:rsid w:val="000B4026"/>
    <w:rsid w:val="000B611D"/>
    <w:rsid w:val="000E19F1"/>
    <w:rsid w:val="000E63CB"/>
    <w:rsid w:val="00130947"/>
    <w:rsid w:val="0013628F"/>
    <w:rsid w:val="001A7B26"/>
    <w:rsid w:val="001C09FF"/>
    <w:rsid w:val="001E4A57"/>
    <w:rsid w:val="001F3078"/>
    <w:rsid w:val="001F76F9"/>
    <w:rsid w:val="00216534"/>
    <w:rsid w:val="00235855"/>
    <w:rsid w:val="00243CAD"/>
    <w:rsid w:val="002C3BE4"/>
    <w:rsid w:val="002C6DFB"/>
    <w:rsid w:val="00307AB6"/>
    <w:rsid w:val="003C38D0"/>
    <w:rsid w:val="00460692"/>
    <w:rsid w:val="004732D7"/>
    <w:rsid w:val="004B6164"/>
    <w:rsid w:val="004C40B1"/>
    <w:rsid w:val="005204EB"/>
    <w:rsid w:val="0053281B"/>
    <w:rsid w:val="00535D74"/>
    <w:rsid w:val="00544E5E"/>
    <w:rsid w:val="005D0BE3"/>
    <w:rsid w:val="005F0533"/>
    <w:rsid w:val="00611093"/>
    <w:rsid w:val="00614505"/>
    <w:rsid w:val="006324B7"/>
    <w:rsid w:val="006868E0"/>
    <w:rsid w:val="006A4DD9"/>
    <w:rsid w:val="006C26C9"/>
    <w:rsid w:val="006D562A"/>
    <w:rsid w:val="0073561D"/>
    <w:rsid w:val="007451B9"/>
    <w:rsid w:val="007B0CF5"/>
    <w:rsid w:val="007D4E81"/>
    <w:rsid w:val="0080627D"/>
    <w:rsid w:val="0081005F"/>
    <w:rsid w:val="0081391C"/>
    <w:rsid w:val="00854865"/>
    <w:rsid w:val="0087094A"/>
    <w:rsid w:val="008A0A72"/>
    <w:rsid w:val="008B7B96"/>
    <w:rsid w:val="008C6803"/>
    <w:rsid w:val="008E7C9E"/>
    <w:rsid w:val="00940B17"/>
    <w:rsid w:val="009929DD"/>
    <w:rsid w:val="009C0614"/>
    <w:rsid w:val="00AE7E7B"/>
    <w:rsid w:val="00AF08F4"/>
    <w:rsid w:val="00C14260"/>
    <w:rsid w:val="00C21B1D"/>
    <w:rsid w:val="00C35D6C"/>
    <w:rsid w:val="00C43726"/>
    <w:rsid w:val="00C67609"/>
    <w:rsid w:val="00CA5AC1"/>
    <w:rsid w:val="00CD7870"/>
    <w:rsid w:val="00CE2AE6"/>
    <w:rsid w:val="00D11A1A"/>
    <w:rsid w:val="00DD0068"/>
    <w:rsid w:val="00DE611B"/>
    <w:rsid w:val="00E621C1"/>
    <w:rsid w:val="00E7458B"/>
    <w:rsid w:val="00E97DE1"/>
    <w:rsid w:val="00EE2282"/>
    <w:rsid w:val="00EE5117"/>
    <w:rsid w:val="00EF033D"/>
    <w:rsid w:val="00EF6124"/>
    <w:rsid w:val="00EF6B95"/>
    <w:rsid w:val="00F053FD"/>
    <w:rsid w:val="00F60451"/>
    <w:rsid w:val="00F9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612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14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rsid w:val="00EE22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E2282"/>
  </w:style>
  <w:style w:type="paragraph" w:styleId="En-tte">
    <w:name w:val="header"/>
    <w:basedOn w:val="Normal"/>
    <w:link w:val="En-tteCar"/>
    <w:rsid w:val="00AE7E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E7E7B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E7E7B"/>
    <w:rPr>
      <w:sz w:val="24"/>
      <w:szCs w:val="24"/>
    </w:rPr>
  </w:style>
  <w:style w:type="character" w:styleId="Lienhypertexte">
    <w:name w:val="Hyperlink"/>
    <w:basedOn w:val="Policepardfaut"/>
    <w:rsid w:val="00AE7E7B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7B0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0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Examen normalisé régional cycle du baccalauréat </vt:lpstr>
    </vt:vector>
  </TitlesOfParts>
  <Company/>
  <LinksUpToDate>false</LinksUpToDate>
  <CharactersWithSpaces>2316</CharactersWithSpaces>
  <SharedDoc>false</SharedDoc>
  <HLinks>
    <vt:vector size="6" baseType="variant">
      <vt:variant>
        <vt:i4>8257566</vt:i4>
      </vt:variant>
      <vt:variant>
        <vt:i4>2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Examen normalisé régional cycle du baccalauréat </dc:title>
  <dc:subject/>
  <dc:creator>po</dc:creator>
  <cp:keywords/>
  <dc:description/>
  <cp:lastModifiedBy>SWEET</cp:lastModifiedBy>
  <cp:revision>4</cp:revision>
  <cp:lastPrinted>2010-02-22T20:00:00Z</cp:lastPrinted>
  <dcterms:created xsi:type="dcterms:W3CDTF">2010-02-18T14:40:00Z</dcterms:created>
  <dcterms:modified xsi:type="dcterms:W3CDTF">2010-02-22T20:01:00Z</dcterms:modified>
</cp:coreProperties>
</file>